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82DF" w14:textId="3AF38AC7" w:rsidR="002115AF" w:rsidRPr="00BF05D1" w:rsidRDefault="009E3304" w:rsidP="009E61DF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F05D1">
        <w:rPr>
          <w:rFonts w:cstheme="minorHAnsi"/>
          <w:b/>
          <w:bCs/>
          <w:color w:val="FF0000"/>
          <w:sz w:val="24"/>
          <w:szCs w:val="24"/>
        </w:rPr>
        <w:t>Alliance HQE-GBC</w:t>
      </w:r>
    </w:p>
    <w:p w14:paraId="5C367462" w14:textId="0A603BC6" w:rsidR="009E3304" w:rsidRDefault="009E3304" w:rsidP="001073EC">
      <w:pPr>
        <w:jc w:val="both"/>
        <w:rPr>
          <w:rFonts w:cstheme="minorHAnsi"/>
          <w:sz w:val="24"/>
          <w:szCs w:val="24"/>
        </w:rPr>
      </w:pPr>
      <w:r w:rsidRPr="00BF05D1">
        <w:rPr>
          <w:rFonts w:cstheme="minorHAnsi"/>
          <w:sz w:val="24"/>
          <w:szCs w:val="24"/>
        </w:rPr>
        <w:t>Association</w:t>
      </w:r>
      <w:r w:rsidR="00884A1A" w:rsidRPr="00BF05D1">
        <w:rPr>
          <w:rFonts w:cstheme="minorHAnsi"/>
          <w:sz w:val="24"/>
          <w:szCs w:val="24"/>
        </w:rPr>
        <w:t xml:space="preserve"> </w:t>
      </w:r>
      <w:r w:rsidR="001E5742">
        <w:rPr>
          <w:rFonts w:cstheme="minorHAnsi"/>
          <w:sz w:val="24"/>
          <w:szCs w:val="24"/>
        </w:rPr>
        <w:t>H</w:t>
      </w:r>
      <w:r w:rsidR="008D60E0">
        <w:rPr>
          <w:rFonts w:cstheme="minorHAnsi"/>
          <w:sz w:val="24"/>
          <w:szCs w:val="24"/>
        </w:rPr>
        <w:t xml:space="preserve">QE </w:t>
      </w:r>
      <w:r w:rsidR="00884A1A" w:rsidRPr="00BF05D1">
        <w:rPr>
          <w:rFonts w:cstheme="minorHAnsi"/>
          <w:sz w:val="24"/>
          <w:szCs w:val="24"/>
        </w:rPr>
        <w:t xml:space="preserve">créée en 1996 </w:t>
      </w:r>
      <w:r w:rsidR="00FD20FE">
        <w:rPr>
          <w:rFonts w:cstheme="minorHAnsi"/>
          <w:sz w:val="24"/>
          <w:szCs w:val="24"/>
        </w:rPr>
        <w:t xml:space="preserve">avec le soutien des pouvoirs publics </w:t>
      </w:r>
      <w:r w:rsidR="00884A1A" w:rsidRPr="00BF05D1">
        <w:rPr>
          <w:rFonts w:cstheme="minorHAnsi"/>
          <w:sz w:val="24"/>
          <w:szCs w:val="24"/>
        </w:rPr>
        <w:t>puis</w:t>
      </w:r>
      <w:r w:rsidRPr="00BF05D1">
        <w:rPr>
          <w:rFonts w:cstheme="minorHAnsi"/>
          <w:sz w:val="24"/>
          <w:szCs w:val="24"/>
        </w:rPr>
        <w:t xml:space="preserve"> reconnue d’utilité publique depuis 2004</w:t>
      </w:r>
      <w:r w:rsidR="00FD20FE">
        <w:rPr>
          <w:rFonts w:cstheme="minorHAnsi"/>
          <w:sz w:val="24"/>
          <w:szCs w:val="24"/>
        </w:rPr>
        <w:t xml:space="preserve"> – Fusion avec WGBC </w:t>
      </w:r>
      <w:r w:rsidR="008D60E0">
        <w:rPr>
          <w:rFonts w:cstheme="minorHAnsi"/>
          <w:sz w:val="24"/>
          <w:szCs w:val="24"/>
        </w:rPr>
        <w:t xml:space="preserve">France </w:t>
      </w:r>
      <w:r w:rsidR="00FD20FE">
        <w:rPr>
          <w:rFonts w:cstheme="minorHAnsi"/>
          <w:sz w:val="24"/>
          <w:szCs w:val="24"/>
        </w:rPr>
        <w:t>en 2016</w:t>
      </w:r>
      <w:r w:rsidR="008D60E0">
        <w:rPr>
          <w:rFonts w:cstheme="minorHAnsi"/>
          <w:sz w:val="24"/>
          <w:szCs w:val="24"/>
        </w:rPr>
        <w:t xml:space="preserve"> pour créer l’Alliance HQE-GBC.</w:t>
      </w:r>
    </w:p>
    <w:p w14:paraId="5AF7F543" w14:textId="6DCE831C" w:rsidR="00F70A21" w:rsidRDefault="009E3304" w:rsidP="001073EC">
      <w:pPr>
        <w:jc w:val="both"/>
        <w:rPr>
          <w:rFonts w:cstheme="minorHAnsi"/>
          <w:sz w:val="24"/>
          <w:szCs w:val="24"/>
        </w:rPr>
      </w:pPr>
      <w:r w:rsidRPr="00BF05D1">
        <w:rPr>
          <w:rFonts w:cstheme="minorHAnsi"/>
          <w:sz w:val="24"/>
          <w:szCs w:val="24"/>
        </w:rPr>
        <w:t xml:space="preserve">Alliance des professionnels </w:t>
      </w:r>
      <w:r w:rsidR="00BF05D1" w:rsidRPr="00BF05D1">
        <w:rPr>
          <w:rFonts w:cstheme="minorHAnsi"/>
          <w:sz w:val="24"/>
          <w:szCs w:val="24"/>
        </w:rPr>
        <w:t>(</w:t>
      </w:r>
      <w:r w:rsidR="009E61DF" w:rsidRPr="00BF05D1">
        <w:rPr>
          <w:rFonts w:cstheme="minorHAnsi"/>
          <w:bCs/>
          <w:sz w:val="24"/>
          <w:szCs w:val="24"/>
        </w:rPr>
        <w:t>syndicats, fédérations</w:t>
      </w:r>
      <w:r w:rsidR="009E61DF" w:rsidRPr="00BF05D1">
        <w:rPr>
          <w:rFonts w:cstheme="minorHAnsi"/>
          <w:bCs/>
          <w:spacing w:val="1"/>
          <w:sz w:val="24"/>
          <w:szCs w:val="24"/>
        </w:rPr>
        <w:t xml:space="preserve"> </w:t>
      </w:r>
      <w:r w:rsidR="009E61DF" w:rsidRPr="00BF05D1">
        <w:rPr>
          <w:rFonts w:cstheme="minorHAnsi"/>
          <w:bCs/>
          <w:sz w:val="24"/>
          <w:szCs w:val="24"/>
        </w:rPr>
        <w:t xml:space="preserve">professionnelles, </w:t>
      </w:r>
      <w:r w:rsidR="00CB69F6">
        <w:rPr>
          <w:rFonts w:cstheme="minorHAnsi"/>
          <w:bCs/>
          <w:sz w:val="24"/>
          <w:szCs w:val="24"/>
        </w:rPr>
        <w:t>entreprises</w:t>
      </w:r>
      <w:r w:rsidR="009E61DF" w:rsidRPr="00BF05D1">
        <w:rPr>
          <w:rFonts w:cstheme="minorHAnsi"/>
          <w:bCs/>
          <w:sz w:val="24"/>
          <w:szCs w:val="24"/>
        </w:rPr>
        <w:t>, collectivités et professionnels à titre individuel</w:t>
      </w:r>
      <w:r w:rsidR="009E61DF" w:rsidRPr="00BF05D1">
        <w:rPr>
          <w:rFonts w:cstheme="minorHAnsi"/>
          <w:sz w:val="24"/>
          <w:szCs w:val="24"/>
        </w:rPr>
        <w:t>)</w:t>
      </w:r>
      <w:r w:rsidR="00BF05D1" w:rsidRPr="00BF05D1">
        <w:rPr>
          <w:rFonts w:cstheme="minorHAnsi"/>
          <w:sz w:val="24"/>
          <w:szCs w:val="24"/>
        </w:rPr>
        <w:t xml:space="preserve"> </w:t>
      </w:r>
      <w:r w:rsidR="00CB69F6">
        <w:rPr>
          <w:rFonts w:cstheme="minorHAnsi"/>
          <w:sz w:val="24"/>
          <w:szCs w:val="24"/>
        </w:rPr>
        <w:t xml:space="preserve">représentant l’ensemble de la chaîne de valeur </w:t>
      </w:r>
      <w:r w:rsidRPr="00BF05D1">
        <w:rPr>
          <w:rFonts w:cstheme="minorHAnsi"/>
          <w:sz w:val="24"/>
          <w:szCs w:val="24"/>
        </w:rPr>
        <w:t>pour un cadre de vie durable</w:t>
      </w:r>
      <w:r w:rsidR="000A19A5">
        <w:rPr>
          <w:rFonts w:cstheme="minorHAnsi"/>
          <w:sz w:val="24"/>
          <w:szCs w:val="24"/>
        </w:rPr>
        <w:t xml:space="preserve"> </w:t>
      </w:r>
      <w:r w:rsidR="00F70A21">
        <w:rPr>
          <w:rFonts w:cstheme="minorHAnsi"/>
          <w:sz w:val="24"/>
          <w:szCs w:val="24"/>
        </w:rPr>
        <w:t>(bâtiment, aménagement et infrastructure).</w:t>
      </w:r>
      <w:r w:rsidR="00EB1F65">
        <w:rPr>
          <w:rFonts w:cstheme="minorHAnsi"/>
          <w:sz w:val="24"/>
          <w:szCs w:val="24"/>
        </w:rPr>
        <w:t xml:space="preserve"> Elle compte 94 membres.</w:t>
      </w:r>
    </w:p>
    <w:p w14:paraId="558E6344" w14:textId="42DFA16D" w:rsidR="00F8684C" w:rsidRDefault="00F8684C" w:rsidP="00F868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démarche HQE repose sur une </w:t>
      </w:r>
      <w:r w:rsidRPr="001C6821">
        <w:rPr>
          <w:rFonts w:cstheme="minorHAnsi"/>
          <w:b/>
          <w:bCs/>
          <w:sz w:val="24"/>
          <w:szCs w:val="24"/>
        </w:rPr>
        <w:t xml:space="preserve">approche globale, transversale, équilibrée et </w:t>
      </w:r>
      <w:proofErr w:type="spellStart"/>
      <w:r w:rsidRPr="001C6821">
        <w:rPr>
          <w:rFonts w:cstheme="minorHAnsi"/>
          <w:b/>
          <w:bCs/>
          <w:sz w:val="24"/>
          <w:szCs w:val="24"/>
        </w:rPr>
        <w:t>multi-critère</w:t>
      </w:r>
      <w:proofErr w:type="spellEnd"/>
      <w:r>
        <w:rPr>
          <w:rFonts w:cstheme="minorHAnsi"/>
          <w:sz w:val="24"/>
          <w:szCs w:val="24"/>
        </w:rPr>
        <w:t xml:space="preserve"> : </w:t>
      </w:r>
      <w:r w:rsidRPr="00BF05D1">
        <w:rPr>
          <w:rFonts w:cstheme="minorHAnsi"/>
          <w:sz w:val="24"/>
          <w:szCs w:val="24"/>
        </w:rPr>
        <w:t>ACV (pas uniquement carbone), économie circulaire, QEI, résilience climatique, biodiversité, eau, qualité de vie</w:t>
      </w:r>
      <w:r w:rsidR="00520097">
        <w:rPr>
          <w:rFonts w:cstheme="minorHAnsi"/>
          <w:sz w:val="24"/>
          <w:szCs w:val="24"/>
        </w:rPr>
        <w:t>…</w:t>
      </w:r>
    </w:p>
    <w:p w14:paraId="2A466294" w14:textId="77777777" w:rsidR="00953739" w:rsidRPr="001C6821" w:rsidRDefault="00953739" w:rsidP="00953739">
      <w:pPr>
        <w:spacing w:before="160" w:after="100" w:afterAutospacing="1" w:line="249" w:lineRule="auto"/>
        <w:ind w:right="113"/>
        <w:jc w:val="both"/>
        <w:rPr>
          <w:rFonts w:cstheme="minorHAnsi"/>
          <w:b/>
          <w:sz w:val="24"/>
          <w:szCs w:val="24"/>
        </w:rPr>
      </w:pPr>
      <w:r w:rsidRPr="00BF05D1">
        <w:rPr>
          <w:rFonts w:cstheme="minorHAnsi"/>
          <w:bCs/>
          <w:sz w:val="24"/>
          <w:szCs w:val="24"/>
        </w:rPr>
        <w:t>Par les démarches volontaires qu’elle suscite en France et à l’international,</w:t>
      </w:r>
      <w:r w:rsidRPr="00BF05D1">
        <w:rPr>
          <w:rFonts w:cstheme="minorHAnsi"/>
          <w:bCs/>
          <w:spacing w:val="1"/>
          <w:sz w:val="24"/>
          <w:szCs w:val="24"/>
        </w:rPr>
        <w:t xml:space="preserve"> </w:t>
      </w:r>
      <w:r w:rsidRPr="001C6821">
        <w:rPr>
          <w:rFonts w:cstheme="minorHAnsi"/>
          <w:b/>
          <w:sz w:val="24"/>
          <w:szCs w:val="24"/>
        </w:rPr>
        <w:t>l’association agit dans l’intérêt général pour :</w:t>
      </w:r>
    </w:p>
    <w:p w14:paraId="6940879A" w14:textId="087F748E" w:rsidR="00953739" w:rsidRPr="003D6295" w:rsidRDefault="00953739" w:rsidP="00953739">
      <w:pPr>
        <w:pStyle w:val="Paragraphedeliste"/>
        <w:numPr>
          <w:ilvl w:val="0"/>
          <w:numId w:val="5"/>
        </w:numPr>
        <w:spacing w:before="160" w:after="100" w:afterAutospacing="1" w:line="249" w:lineRule="auto"/>
        <w:ind w:right="11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Anticiper </w:t>
      </w:r>
      <w:r w:rsidR="004B75C6">
        <w:rPr>
          <w:rFonts w:cstheme="minorHAnsi"/>
          <w:bCs/>
          <w:sz w:val="24"/>
          <w:szCs w:val="24"/>
        </w:rPr>
        <w:t xml:space="preserve">les futures réglementations </w:t>
      </w:r>
      <w:r>
        <w:rPr>
          <w:rFonts w:cstheme="minorHAnsi"/>
          <w:bCs/>
          <w:sz w:val="24"/>
          <w:szCs w:val="24"/>
        </w:rPr>
        <w:t xml:space="preserve">et </w:t>
      </w:r>
      <w:r w:rsidRPr="003D6295">
        <w:rPr>
          <w:rFonts w:cstheme="minorHAnsi"/>
          <w:bCs/>
          <w:sz w:val="24"/>
          <w:szCs w:val="24"/>
        </w:rPr>
        <w:t>innover de manière collaborative</w:t>
      </w:r>
      <w:r>
        <w:rPr>
          <w:rFonts w:cstheme="minorHAnsi"/>
          <w:bCs/>
          <w:sz w:val="24"/>
          <w:szCs w:val="24"/>
        </w:rPr>
        <w:t xml:space="preserve"> en lançant des expérimentations</w:t>
      </w:r>
      <w:r w:rsidR="004B75C6">
        <w:rPr>
          <w:rFonts w:cstheme="minorHAnsi"/>
          <w:bCs/>
          <w:sz w:val="24"/>
          <w:szCs w:val="24"/>
        </w:rPr>
        <w:t> ;</w:t>
      </w:r>
    </w:p>
    <w:p w14:paraId="6B9F215B" w14:textId="644F7009" w:rsidR="00953739" w:rsidRPr="003D6295" w:rsidRDefault="006E7773" w:rsidP="0095373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="00953739" w:rsidRPr="003D6295">
        <w:rPr>
          <w:rFonts w:cstheme="minorHAnsi"/>
          <w:bCs/>
          <w:sz w:val="24"/>
          <w:szCs w:val="24"/>
        </w:rPr>
        <w:t xml:space="preserve">éfinir des outils permettant d’accompagner les acteurs </w:t>
      </w:r>
      <w:r w:rsidR="00953739" w:rsidRPr="003D6295"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  <w:t>(cadre de référence, formations, certification, outils d’évaluation…)</w:t>
      </w:r>
      <w:r w:rsidR="004B75C6"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  <w:t> ;</w:t>
      </w:r>
    </w:p>
    <w:p w14:paraId="003BB393" w14:textId="294BF5BA" w:rsidR="00953739" w:rsidRPr="003D6295" w:rsidRDefault="006E7773" w:rsidP="0095373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="00953739" w:rsidRPr="003D6295">
        <w:rPr>
          <w:rFonts w:cstheme="minorHAnsi"/>
          <w:bCs/>
          <w:sz w:val="24"/>
          <w:szCs w:val="24"/>
        </w:rPr>
        <w:t xml:space="preserve">méliorer les connaissances </w:t>
      </w:r>
      <w:r w:rsidR="00953739" w:rsidRPr="003D6295"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  <w:t>(publications, études, benchmarks retours d’expérience…)</w:t>
      </w:r>
      <w:r w:rsidR="001C6821"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  <w:t> ;</w:t>
      </w:r>
    </w:p>
    <w:p w14:paraId="0D64BA04" w14:textId="1DEFD19D" w:rsidR="00953739" w:rsidRPr="003D6295" w:rsidRDefault="006E7773" w:rsidP="0095373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</w:pPr>
      <w:r>
        <w:rPr>
          <w:rFonts w:cstheme="minorHAnsi"/>
          <w:bCs/>
          <w:sz w:val="24"/>
          <w:szCs w:val="24"/>
        </w:rPr>
        <w:t>D</w:t>
      </w:r>
      <w:r w:rsidR="00953739" w:rsidRPr="003D6295">
        <w:rPr>
          <w:rFonts w:cstheme="minorHAnsi"/>
          <w:bCs/>
          <w:sz w:val="24"/>
          <w:szCs w:val="24"/>
        </w:rPr>
        <w:t xml:space="preserve">iffuser les bonnes pratiques </w:t>
      </w:r>
      <w:r w:rsidR="00953739" w:rsidRPr="003D6295"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  <w:t>pour que les acteurs s’approprient économiquement et techniquement ces outils</w:t>
      </w:r>
      <w:r w:rsidR="001C6821">
        <w:rPr>
          <w:rFonts w:eastAsia="Times New Roman" w:cstheme="minorHAnsi"/>
          <w:color w:val="1A171B"/>
          <w:kern w:val="0"/>
          <w:sz w:val="24"/>
          <w:szCs w:val="24"/>
          <w:lang w:eastAsia="fr-FR"/>
          <w14:ligatures w14:val="none"/>
        </w:rPr>
        <w:t> ;</w:t>
      </w:r>
    </w:p>
    <w:p w14:paraId="6C40D3FD" w14:textId="5FC45358" w:rsidR="00953739" w:rsidRPr="003D6295" w:rsidRDefault="006E7773" w:rsidP="00953739">
      <w:pPr>
        <w:pStyle w:val="Paragraphedeliste"/>
        <w:numPr>
          <w:ilvl w:val="0"/>
          <w:numId w:val="5"/>
        </w:numPr>
        <w:spacing w:before="160" w:after="100" w:afterAutospacing="1" w:line="249" w:lineRule="auto"/>
        <w:ind w:right="11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</w:t>
      </w:r>
      <w:r w:rsidR="00953739" w:rsidRPr="003D6295">
        <w:rPr>
          <w:rFonts w:cstheme="minorHAnsi"/>
          <w:bCs/>
          <w:sz w:val="24"/>
          <w:szCs w:val="24"/>
        </w:rPr>
        <w:t xml:space="preserve">eprésenter et promouvoir le secteur du cadre de vie durable. </w:t>
      </w:r>
    </w:p>
    <w:p w14:paraId="5CB8F5A7" w14:textId="35EB7461" w:rsidR="00E712DF" w:rsidRPr="00BF05D1" w:rsidRDefault="00512C95" w:rsidP="001073EC">
      <w:pPr>
        <w:jc w:val="both"/>
        <w:rPr>
          <w:rFonts w:cstheme="minorHAnsi"/>
          <w:color w:val="242424"/>
          <w:sz w:val="24"/>
          <w:szCs w:val="24"/>
        </w:rPr>
      </w:pPr>
      <w:r w:rsidRPr="00512C95">
        <w:rPr>
          <w:rFonts w:cstheme="minorHAnsi"/>
          <w:sz w:val="24"/>
          <w:szCs w:val="24"/>
        </w:rPr>
        <w:t>L’Alliance HQE-</w:t>
      </w:r>
      <w:r w:rsidR="007B1F5B">
        <w:rPr>
          <w:rFonts w:cstheme="minorHAnsi"/>
          <w:sz w:val="24"/>
          <w:szCs w:val="24"/>
        </w:rPr>
        <w:t>G</w:t>
      </w:r>
      <w:r w:rsidRPr="00512C95">
        <w:rPr>
          <w:rFonts w:cstheme="minorHAnsi"/>
          <w:sz w:val="24"/>
          <w:szCs w:val="24"/>
        </w:rPr>
        <w:t xml:space="preserve">BC </w:t>
      </w:r>
      <w:r w:rsidR="00953739">
        <w:rPr>
          <w:rFonts w:cstheme="minorHAnsi"/>
          <w:sz w:val="24"/>
          <w:szCs w:val="24"/>
        </w:rPr>
        <w:t>élabore</w:t>
      </w:r>
      <w:r>
        <w:rPr>
          <w:rFonts w:cstheme="minorHAnsi"/>
          <w:sz w:val="24"/>
          <w:szCs w:val="24"/>
        </w:rPr>
        <w:t xml:space="preserve"> des</w:t>
      </w:r>
      <w:r w:rsidR="000A19A5" w:rsidRPr="00BF05D1">
        <w:rPr>
          <w:rFonts w:cstheme="minorHAnsi"/>
          <w:color w:val="242424"/>
          <w:sz w:val="24"/>
          <w:szCs w:val="24"/>
        </w:rPr>
        <w:t xml:space="preserve"> </w:t>
      </w:r>
      <w:r w:rsidR="000A19A5" w:rsidRPr="001C6821">
        <w:rPr>
          <w:rFonts w:cstheme="minorHAnsi"/>
          <w:b/>
          <w:bCs/>
          <w:color w:val="242424"/>
          <w:sz w:val="24"/>
          <w:szCs w:val="24"/>
        </w:rPr>
        <w:t>cadres de référence</w:t>
      </w:r>
      <w:r w:rsidR="009E3304" w:rsidRPr="00BF05D1">
        <w:rPr>
          <w:rFonts w:cstheme="minorHAnsi"/>
          <w:sz w:val="24"/>
          <w:szCs w:val="24"/>
        </w:rPr>
        <w:t xml:space="preserve"> (bâtiment</w:t>
      </w:r>
      <w:r>
        <w:rPr>
          <w:rFonts w:cstheme="minorHAnsi"/>
          <w:sz w:val="24"/>
          <w:szCs w:val="24"/>
        </w:rPr>
        <w:t>,</w:t>
      </w:r>
      <w:r w:rsidR="000A19A5">
        <w:rPr>
          <w:rFonts w:cstheme="minorHAnsi"/>
          <w:sz w:val="24"/>
          <w:szCs w:val="24"/>
        </w:rPr>
        <w:t xml:space="preserve"> </w:t>
      </w:r>
      <w:r w:rsidR="009E3304" w:rsidRPr="00BF05D1">
        <w:rPr>
          <w:rFonts w:cstheme="minorHAnsi"/>
          <w:sz w:val="24"/>
          <w:szCs w:val="24"/>
        </w:rPr>
        <w:t>aménagement</w:t>
      </w:r>
      <w:r>
        <w:rPr>
          <w:rFonts w:cstheme="minorHAnsi"/>
          <w:sz w:val="24"/>
          <w:szCs w:val="24"/>
        </w:rPr>
        <w:t xml:space="preserve"> et infrastructure</w:t>
      </w:r>
      <w:r w:rsidR="009E3304" w:rsidRPr="00BF05D1">
        <w:rPr>
          <w:rFonts w:cstheme="minorHAnsi"/>
          <w:sz w:val="24"/>
          <w:szCs w:val="24"/>
        </w:rPr>
        <w:t>)</w:t>
      </w:r>
      <w:r w:rsidR="00100644">
        <w:rPr>
          <w:rFonts w:cstheme="minorHAnsi"/>
          <w:sz w:val="24"/>
          <w:szCs w:val="24"/>
        </w:rPr>
        <w:t xml:space="preserve"> </w:t>
      </w:r>
      <w:r w:rsidR="00F308BE">
        <w:rPr>
          <w:rFonts w:cstheme="minorHAnsi"/>
          <w:sz w:val="24"/>
          <w:szCs w:val="24"/>
        </w:rPr>
        <w:t>qui sont un l</w:t>
      </w:r>
      <w:r w:rsidR="00E712DF" w:rsidRPr="00BF05D1">
        <w:rPr>
          <w:rFonts w:cstheme="minorHAnsi"/>
          <w:color w:val="242424"/>
          <w:sz w:val="24"/>
          <w:szCs w:val="24"/>
        </w:rPr>
        <w:t xml:space="preserve">angage commun basé </w:t>
      </w:r>
      <w:r w:rsidR="00E971FA">
        <w:rPr>
          <w:rFonts w:cstheme="minorHAnsi"/>
          <w:color w:val="242424"/>
          <w:sz w:val="24"/>
          <w:szCs w:val="24"/>
        </w:rPr>
        <w:t xml:space="preserve">à l’origine sur 14 cibles </w:t>
      </w:r>
      <w:r w:rsidR="006124E6">
        <w:rPr>
          <w:rFonts w:cstheme="minorHAnsi"/>
          <w:color w:val="242424"/>
          <w:sz w:val="24"/>
          <w:szCs w:val="24"/>
        </w:rPr>
        <w:t xml:space="preserve">qui ont été ensuite </w:t>
      </w:r>
      <w:r w:rsidR="006C3AB5">
        <w:rPr>
          <w:rFonts w:cstheme="minorHAnsi"/>
          <w:color w:val="242424"/>
          <w:sz w:val="24"/>
          <w:szCs w:val="24"/>
        </w:rPr>
        <w:t>redéfinies en</w:t>
      </w:r>
      <w:r w:rsidR="00E712DF" w:rsidRPr="00BF05D1">
        <w:rPr>
          <w:rFonts w:cstheme="minorHAnsi"/>
          <w:color w:val="242424"/>
          <w:sz w:val="24"/>
          <w:szCs w:val="24"/>
        </w:rPr>
        <w:t xml:space="preserve"> </w:t>
      </w:r>
      <w:r w:rsidR="00E712DF" w:rsidRPr="00EB1F65">
        <w:rPr>
          <w:rFonts w:cstheme="minorHAnsi"/>
          <w:b/>
          <w:bCs/>
          <w:color w:val="242424"/>
          <w:sz w:val="24"/>
          <w:szCs w:val="24"/>
        </w:rPr>
        <w:t>4 engagements</w:t>
      </w:r>
      <w:r w:rsidR="002637DD">
        <w:rPr>
          <w:rFonts w:cstheme="minorHAnsi"/>
          <w:color w:val="242424"/>
          <w:sz w:val="24"/>
          <w:szCs w:val="24"/>
        </w:rPr>
        <w:t xml:space="preserve"> </w:t>
      </w:r>
      <w:r w:rsidR="00EB1F65" w:rsidRPr="00EB1F65">
        <w:rPr>
          <w:rFonts w:cstheme="minorHAnsi"/>
          <w:b/>
          <w:bCs/>
          <w:color w:val="242424"/>
          <w:sz w:val="24"/>
          <w:szCs w:val="24"/>
        </w:rPr>
        <w:t>indissociables</w:t>
      </w:r>
      <w:r w:rsidR="00EB1F65">
        <w:rPr>
          <w:rFonts w:cstheme="minorHAnsi"/>
          <w:color w:val="242424"/>
          <w:sz w:val="24"/>
          <w:szCs w:val="24"/>
        </w:rPr>
        <w:t xml:space="preserve"> </w:t>
      </w:r>
      <w:r w:rsidR="003B2818">
        <w:rPr>
          <w:rFonts w:cstheme="minorHAnsi"/>
          <w:color w:val="242424"/>
          <w:sz w:val="24"/>
          <w:szCs w:val="24"/>
        </w:rPr>
        <w:t xml:space="preserve">pour une vision équilibrée et structurante </w:t>
      </w:r>
      <w:r w:rsidR="00E971FA">
        <w:rPr>
          <w:rFonts w:cstheme="minorHAnsi"/>
          <w:color w:val="242424"/>
          <w:sz w:val="24"/>
          <w:szCs w:val="24"/>
        </w:rPr>
        <w:t xml:space="preserve">du bâtiment durable </w:t>
      </w:r>
      <w:r w:rsidR="003B2818">
        <w:rPr>
          <w:rFonts w:cstheme="minorHAnsi"/>
          <w:color w:val="242424"/>
          <w:sz w:val="24"/>
          <w:szCs w:val="24"/>
        </w:rPr>
        <w:t>pour les années à venir</w:t>
      </w:r>
      <w:r w:rsidR="00E712DF" w:rsidRPr="00BF05D1">
        <w:rPr>
          <w:rFonts w:cstheme="minorHAnsi"/>
          <w:color w:val="242424"/>
          <w:sz w:val="24"/>
          <w:szCs w:val="24"/>
        </w:rPr>
        <w:t> :</w:t>
      </w:r>
    </w:p>
    <w:p w14:paraId="3EB4DD50" w14:textId="626D5CDC" w:rsidR="00E712DF" w:rsidRPr="00BF05D1" w:rsidRDefault="00E712DF" w:rsidP="001073E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BF05D1">
        <w:rPr>
          <w:rFonts w:asciiTheme="minorHAnsi" w:hAnsiTheme="minorHAnsi" w:cstheme="minorHAnsi"/>
          <w:color w:val="242424"/>
        </w:rPr>
        <w:t>Le respect de l’environnement</w:t>
      </w:r>
      <w:r w:rsidR="00246000">
        <w:rPr>
          <w:rFonts w:asciiTheme="minorHAnsi" w:hAnsiTheme="minorHAnsi" w:cstheme="minorHAnsi"/>
          <w:color w:val="242424"/>
        </w:rPr>
        <w:t xml:space="preserve"> </w:t>
      </w:r>
      <w:r w:rsidR="00246000" w:rsidRPr="00BF7DE6">
        <w:rPr>
          <w:rFonts w:asciiTheme="minorHAnsi" w:hAnsiTheme="minorHAnsi" w:cstheme="minorHAnsi"/>
          <w:shd w:val="clear" w:color="auto" w:fill="FFFFFF" w:themeFill="background1"/>
        </w:rPr>
        <w:t>(énergie, carbone, eau, déchets, biodiversité…)</w:t>
      </w:r>
      <w:r w:rsidRPr="00BF05D1">
        <w:rPr>
          <w:rFonts w:asciiTheme="minorHAnsi" w:hAnsiTheme="minorHAnsi" w:cstheme="minorHAnsi"/>
          <w:color w:val="242424"/>
        </w:rPr>
        <w:t>,</w:t>
      </w:r>
    </w:p>
    <w:p w14:paraId="3B9B1124" w14:textId="77777777" w:rsidR="00E712DF" w:rsidRPr="00BF05D1" w:rsidRDefault="00E712DF" w:rsidP="001073E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BF05D1">
        <w:rPr>
          <w:rFonts w:asciiTheme="minorHAnsi" w:hAnsiTheme="minorHAnsi" w:cstheme="minorHAnsi"/>
          <w:color w:val="242424"/>
        </w:rPr>
        <w:t>La qualité de vie,</w:t>
      </w:r>
    </w:p>
    <w:p w14:paraId="46ED6C11" w14:textId="77777777" w:rsidR="00E712DF" w:rsidRPr="00BF05D1" w:rsidRDefault="00E712DF" w:rsidP="001073E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BF05D1">
        <w:rPr>
          <w:rFonts w:asciiTheme="minorHAnsi" w:hAnsiTheme="minorHAnsi" w:cstheme="minorHAnsi"/>
          <w:color w:val="242424"/>
        </w:rPr>
        <w:t>La performance économique</w:t>
      </w:r>
    </w:p>
    <w:p w14:paraId="1D57A7C9" w14:textId="77777777" w:rsidR="00E712DF" w:rsidRDefault="00E712DF" w:rsidP="001073E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BF05D1">
        <w:rPr>
          <w:rFonts w:asciiTheme="minorHAnsi" w:hAnsiTheme="minorHAnsi" w:cstheme="minorHAnsi"/>
          <w:color w:val="242424"/>
        </w:rPr>
        <w:t>Le management responsable.</w:t>
      </w:r>
    </w:p>
    <w:p w14:paraId="46CC9B2B" w14:textId="2337C685" w:rsidR="00E712DF" w:rsidRDefault="00E712DF" w:rsidP="001073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BF05D1">
        <w:rPr>
          <w:rFonts w:asciiTheme="minorHAnsi" w:hAnsiTheme="minorHAnsi" w:cstheme="minorHAnsi"/>
          <w:color w:val="242424"/>
        </w:rPr>
        <w:t xml:space="preserve">C’est l’équilibre recherché entre </w:t>
      </w:r>
      <w:r w:rsidR="00267276">
        <w:rPr>
          <w:rFonts w:asciiTheme="minorHAnsi" w:hAnsiTheme="minorHAnsi" w:cstheme="minorHAnsi"/>
          <w:color w:val="242424"/>
        </w:rPr>
        <w:t>c</w:t>
      </w:r>
      <w:r w:rsidRPr="00BF05D1">
        <w:rPr>
          <w:rFonts w:asciiTheme="minorHAnsi" w:hAnsiTheme="minorHAnsi" w:cstheme="minorHAnsi"/>
          <w:color w:val="242424"/>
        </w:rPr>
        <w:t>es engagements qui permet de créer la HQE.</w:t>
      </w:r>
    </w:p>
    <w:p w14:paraId="3F1DC535" w14:textId="77777777" w:rsidR="008F0525" w:rsidRDefault="008F0525" w:rsidP="001073E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</w:p>
    <w:p w14:paraId="4C9DB916" w14:textId="23602039" w:rsidR="008F0525" w:rsidRPr="00BF05D1" w:rsidRDefault="001A3736" w:rsidP="001A373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1A3736">
        <w:rPr>
          <w:rFonts w:asciiTheme="minorHAnsi" w:hAnsiTheme="minorHAnsi" w:cstheme="minorHAnsi"/>
          <w:noProof/>
          <w:color w:val="242424"/>
        </w:rPr>
        <w:lastRenderedPageBreak/>
        <w:drawing>
          <wp:inline distT="0" distB="0" distL="0" distR="0" wp14:anchorId="39C0FBA1" wp14:editId="17537272">
            <wp:extent cx="3680701" cy="3505835"/>
            <wp:effectExtent l="0" t="0" r="0" b="0"/>
            <wp:docPr id="9" name="Image 8" descr="Une image contenant texte, cercle, logo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A2E4EDA-29EB-301F-BCDE-F1BDD1570B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texte, cercle, logo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5A2E4EDA-29EB-301F-BCDE-F1BDD1570B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4912" cy="35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98F99" w14:textId="6FBE65F2" w:rsidR="00E712DF" w:rsidRDefault="00E712DF" w:rsidP="001073EC">
      <w:pPr>
        <w:jc w:val="both"/>
        <w:rPr>
          <w:rFonts w:cstheme="minorHAnsi"/>
          <w:color w:val="1A171B"/>
          <w:sz w:val="24"/>
          <w:szCs w:val="24"/>
          <w:shd w:val="clear" w:color="auto" w:fill="FFFFFF" w:themeFill="background1"/>
        </w:rPr>
      </w:pPr>
      <w:r w:rsidRPr="00BF05D1">
        <w:rPr>
          <w:rFonts w:cstheme="minorHAnsi"/>
          <w:color w:val="242424"/>
          <w:sz w:val="24"/>
          <w:szCs w:val="24"/>
        </w:rPr>
        <w:t xml:space="preserve">Ces cadres de référence servent d’assiette/de base pour la rédaction des référentiels techniques </w:t>
      </w:r>
      <w:r w:rsidR="00672752">
        <w:rPr>
          <w:rFonts w:cstheme="minorHAnsi"/>
          <w:color w:val="242424"/>
          <w:sz w:val="24"/>
          <w:szCs w:val="24"/>
        </w:rPr>
        <w:t xml:space="preserve">de la </w:t>
      </w:r>
      <w:r w:rsidR="00246000">
        <w:rPr>
          <w:rFonts w:cstheme="minorHAnsi"/>
          <w:color w:val="242424"/>
          <w:sz w:val="24"/>
          <w:szCs w:val="24"/>
        </w:rPr>
        <w:t>c</w:t>
      </w:r>
      <w:r w:rsidR="00672752">
        <w:rPr>
          <w:rFonts w:cstheme="minorHAnsi"/>
          <w:color w:val="242424"/>
          <w:sz w:val="24"/>
          <w:szCs w:val="24"/>
        </w:rPr>
        <w:t xml:space="preserve">ertification </w:t>
      </w:r>
      <w:r w:rsidR="00246000">
        <w:rPr>
          <w:rFonts w:cstheme="minorHAnsi"/>
          <w:color w:val="242424"/>
          <w:sz w:val="24"/>
          <w:szCs w:val="24"/>
        </w:rPr>
        <w:t xml:space="preserve">HQE, associable à la marque NF, </w:t>
      </w:r>
      <w:r w:rsidRPr="00BF05D1">
        <w:rPr>
          <w:rFonts w:cstheme="minorHAnsi"/>
          <w:color w:val="242424"/>
          <w:sz w:val="24"/>
          <w:szCs w:val="24"/>
        </w:rPr>
        <w:t xml:space="preserve">que </w:t>
      </w:r>
      <w:r w:rsidR="00246000">
        <w:rPr>
          <w:rFonts w:cstheme="minorHAnsi"/>
          <w:color w:val="242424"/>
          <w:sz w:val="24"/>
          <w:szCs w:val="24"/>
        </w:rPr>
        <w:t>délivrent</w:t>
      </w:r>
      <w:r w:rsidR="00267276">
        <w:rPr>
          <w:rFonts w:cstheme="minorHAnsi"/>
          <w:color w:val="242424"/>
        </w:rPr>
        <w:t xml:space="preserve"> </w:t>
      </w:r>
      <w:r w:rsidR="00267276" w:rsidRPr="00246000">
        <w:rPr>
          <w:rFonts w:cstheme="minorHAnsi"/>
          <w:color w:val="242424"/>
          <w:sz w:val="24"/>
          <w:szCs w:val="24"/>
        </w:rPr>
        <w:t xml:space="preserve">les </w:t>
      </w:r>
      <w:r w:rsidR="00267276" w:rsidRPr="00752B7C">
        <w:rPr>
          <w:rFonts w:cstheme="minorHAnsi"/>
          <w:b/>
          <w:bCs/>
          <w:color w:val="242424"/>
          <w:sz w:val="24"/>
          <w:szCs w:val="24"/>
        </w:rPr>
        <w:t>certificateurs</w:t>
      </w:r>
      <w:r w:rsidRPr="00BF05D1">
        <w:rPr>
          <w:rFonts w:cstheme="minorHAnsi"/>
          <w:color w:val="242424"/>
          <w:sz w:val="24"/>
          <w:szCs w:val="24"/>
        </w:rPr>
        <w:t xml:space="preserve"> </w:t>
      </w:r>
      <w:r w:rsidR="00C15A18" w:rsidRPr="00BF05D1">
        <w:rPr>
          <w:rFonts w:cstheme="minorHAnsi"/>
          <w:sz w:val="24"/>
          <w:szCs w:val="24"/>
        </w:rPr>
        <w:t>Cerqual Qualitel certification (habitat en construction, en exploitation, en rénovation)</w:t>
      </w:r>
      <w:r w:rsidR="00C15A18">
        <w:rPr>
          <w:rFonts w:cstheme="minorHAnsi"/>
          <w:sz w:val="24"/>
          <w:szCs w:val="24"/>
        </w:rPr>
        <w:t xml:space="preserve"> </w:t>
      </w:r>
      <w:r w:rsidR="00F308BE">
        <w:rPr>
          <w:rFonts w:cstheme="minorHAnsi"/>
          <w:color w:val="242424"/>
        </w:rPr>
        <w:t xml:space="preserve">et </w:t>
      </w:r>
      <w:r w:rsidR="00C15A18" w:rsidRPr="00BF05D1">
        <w:rPr>
          <w:rFonts w:cstheme="minorHAnsi"/>
          <w:sz w:val="24"/>
          <w:szCs w:val="24"/>
        </w:rPr>
        <w:t>Certivea (filiale CSTB – Tertiaire, infrastructure, territoires)</w:t>
      </w:r>
      <w:r w:rsidR="00624AB6">
        <w:rPr>
          <w:rFonts w:cstheme="minorHAnsi"/>
          <w:color w:val="242424"/>
          <w:sz w:val="24"/>
          <w:szCs w:val="24"/>
        </w:rPr>
        <w:t xml:space="preserve"> </w:t>
      </w:r>
      <w:r w:rsidR="00624AB6" w:rsidRPr="00624AB6">
        <w:rPr>
          <w:rFonts w:cstheme="minorHAnsi"/>
          <w:color w:val="1A171B"/>
          <w:sz w:val="24"/>
          <w:szCs w:val="24"/>
          <w:shd w:val="clear" w:color="auto" w:fill="FFFFFF" w:themeFill="background1"/>
        </w:rPr>
        <w:t>qui assurent, via des auditeurs indépendants, la </w:t>
      </w:r>
      <w:r w:rsidR="00624AB6" w:rsidRPr="00624AB6">
        <w:rPr>
          <w:rStyle w:val="lev"/>
          <w:rFonts w:cstheme="minorHAnsi"/>
          <w:b w:val="0"/>
          <w:bCs w:val="0"/>
          <w:color w:val="1A171B"/>
          <w:sz w:val="24"/>
          <w:szCs w:val="24"/>
          <w:shd w:val="clear" w:color="auto" w:fill="FFFFFF" w:themeFill="background1"/>
        </w:rPr>
        <w:t>transparence</w:t>
      </w:r>
      <w:r w:rsidR="00624AB6" w:rsidRPr="00624AB6">
        <w:rPr>
          <w:rFonts w:cstheme="minorHAnsi"/>
          <w:b/>
          <w:bCs/>
          <w:color w:val="1A171B"/>
          <w:sz w:val="24"/>
          <w:szCs w:val="24"/>
          <w:shd w:val="clear" w:color="auto" w:fill="FFFFFF" w:themeFill="background1"/>
        </w:rPr>
        <w:t> </w:t>
      </w:r>
      <w:r w:rsidR="00624AB6" w:rsidRPr="00624AB6">
        <w:rPr>
          <w:rFonts w:cstheme="minorHAnsi"/>
          <w:color w:val="1A171B"/>
          <w:sz w:val="24"/>
          <w:szCs w:val="24"/>
          <w:shd w:val="clear" w:color="auto" w:fill="FFFFFF" w:themeFill="background1"/>
        </w:rPr>
        <w:t>et la</w:t>
      </w:r>
      <w:r w:rsidR="00624AB6" w:rsidRPr="00624AB6">
        <w:rPr>
          <w:rFonts w:cstheme="minorHAnsi"/>
          <w:b/>
          <w:bCs/>
          <w:color w:val="1A171B"/>
          <w:sz w:val="24"/>
          <w:szCs w:val="24"/>
          <w:shd w:val="clear" w:color="auto" w:fill="FFFFFF" w:themeFill="background1"/>
        </w:rPr>
        <w:t> </w:t>
      </w:r>
      <w:r w:rsidR="00624AB6" w:rsidRPr="00624AB6">
        <w:rPr>
          <w:rStyle w:val="lev"/>
          <w:rFonts w:cstheme="minorHAnsi"/>
          <w:b w:val="0"/>
          <w:bCs w:val="0"/>
          <w:color w:val="1A171B"/>
          <w:sz w:val="24"/>
          <w:szCs w:val="24"/>
          <w:shd w:val="clear" w:color="auto" w:fill="FFFFFF" w:themeFill="background1"/>
        </w:rPr>
        <w:t>crédibilité</w:t>
      </w:r>
      <w:r w:rsidR="00624AB6" w:rsidRPr="00624AB6">
        <w:rPr>
          <w:rFonts w:cstheme="minorHAnsi"/>
          <w:color w:val="1A171B"/>
          <w:sz w:val="24"/>
          <w:szCs w:val="24"/>
          <w:shd w:val="clear" w:color="auto" w:fill="FFFFFF" w:themeFill="background1"/>
        </w:rPr>
        <w:t> du processus d’évaluation des performances</w:t>
      </w:r>
    </w:p>
    <w:p w14:paraId="35E172F6" w14:textId="77777777" w:rsidR="002637DD" w:rsidRDefault="002637DD" w:rsidP="001073EC">
      <w:pPr>
        <w:jc w:val="both"/>
        <w:rPr>
          <w:rFonts w:cstheme="minorHAnsi"/>
          <w:color w:val="242424"/>
          <w:sz w:val="24"/>
          <w:szCs w:val="24"/>
        </w:rPr>
      </w:pPr>
    </w:p>
    <w:p w14:paraId="1B8E4620" w14:textId="6023D3DC" w:rsidR="00884A1A" w:rsidRPr="00BF05D1" w:rsidRDefault="00C34A31" w:rsidP="001073EC">
      <w:pPr>
        <w:pStyle w:val="NormalWeb"/>
        <w:shd w:val="clear" w:color="auto" w:fill="FFFFFF" w:themeFill="background1"/>
        <w:spacing w:before="0" w:beforeAutospacing="0" w:after="225" w:afterAutospacing="0"/>
        <w:jc w:val="both"/>
        <w:rPr>
          <w:rFonts w:asciiTheme="minorHAnsi" w:hAnsiTheme="minorHAnsi" w:cstheme="minorHAnsi"/>
          <w:color w:val="1A171B"/>
        </w:rPr>
      </w:pPr>
      <w:r>
        <w:rPr>
          <w:rFonts w:asciiTheme="minorHAnsi" w:hAnsiTheme="minorHAnsi" w:cstheme="minorHAnsi"/>
          <w:color w:val="1A171B"/>
        </w:rPr>
        <w:t xml:space="preserve">Parmi les autres </w:t>
      </w:r>
      <w:r w:rsidRPr="00752B7C">
        <w:rPr>
          <w:rFonts w:asciiTheme="minorHAnsi" w:hAnsiTheme="minorHAnsi" w:cstheme="minorHAnsi"/>
          <w:b/>
          <w:bCs/>
          <w:color w:val="1A171B"/>
        </w:rPr>
        <w:t>outils</w:t>
      </w:r>
      <w:r>
        <w:rPr>
          <w:rFonts w:asciiTheme="minorHAnsi" w:hAnsiTheme="minorHAnsi" w:cstheme="minorHAnsi"/>
          <w:color w:val="1A171B"/>
        </w:rPr>
        <w:t xml:space="preserve"> que l</w:t>
      </w:r>
      <w:r w:rsidR="00884A1A" w:rsidRPr="00BF05D1">
        <w:rPr>
          <w:rFonts w:asciiTheme="minorHAnsi" w:hAnsiTheme="minorHAnsi" w:cstheme="minorHAnsi"/>
          <w:color w:val="1A171B"/>
        </w:rPr>
        <w:t xml:space="preserve">’Alliance HQE-GBC </w:t>
      </w:r>
      <w:r>
        <w:rPr>
          <w:rFonts w:asciiTheme="minorHAnsi" w:hAnsiTheme="minorHAnsi" w:cstheme="minorHAnsi"/>
          <w:color w:val="1A171B"/>
        </w:rPr>
        <w:t>élabore et met à disposition de</w:t>
      </w:r>
      <w:r w:rsidR="00254A92">
        <w:rPr>
          <w:rFonts w:asciiTheme="minorHAnsi" w:hAnsiTheme="minorHAnsi" w:cstheme="minorHAnsi"/>
          <w:b/>
          <w:bCs/>
          <w:color w:val="1A171B"/>
        </w:rPr>
        <w:t xml:space="preserve"> tous gratuitement</w:t>
      </w:r>
      <w:r w:rsidR="00884A1A" w:rsidRPr="00BF05D1">
        <w:rPr>
          <w:rFonts w:asciiTheme="minorHAnsi" w:hAnsiTheme="minorHAnsi" w:cstheme="minorHAnsi"/>
          <w:color w:val="1A171B"/>
        </w:rPr>
        <w:t xml:space="preserve"> :</w:t>
      </w:r>
    </w:p>
    <w:p w14:paraId="70BCC3B3" w14:textId="732AAD9A" w:rsidR="00884A1A" w:rsidRPr="00BF05D1" w:rsidRDefault="00884A1A" w:rsidP="001073E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  <w:r w:rsidRPr="00BF05D1">
        <w:rPr>
          <w:rStyle w:val="lev"/>
          <w:rFonts w:cstheme="minorHAnsi"/>
          <w:color w:val="1A171B"/>
          <w:sz w:val="24"/>
          <w:szCs w:val="24"/>
        </w:rPr>
        <w:t>Les cadres de définition HQE</w:t>
      </w:r>
      <w:r w:rsidRPr="00BF05D1">
        <w:rPr>
          <w:rFonts w:cstheme="minorHAnsi"/>
          <w:color w:val="1A171B"/>
          <w:sz w:val="24"/>
          <w:szCs w:val="24"/>
        </w:rPr>
        <w:t> </w:t>
      </w:r>
      <w:r w:rsidR="00D30010">
        <w:rPr>
          <w:rFonts w:cstheme="minorHAnsi"/>
          <w:color w:val="1A171B"/>
          <w:sz w:val="24"/>
          <w:szCs w:val="24"/>
        </w:rPr>
        <w:t xml:space="preserve">(économie circulaire et adaptation au changement climatique) </w:t>
      </w:r>
      <w:r w:rsidRPr="00BF05D1">
        <w:rPr>
          <w:rFonts w:cstheme="minorHAnsi"/>
          <w:color w:val="1A171B"/>
          <w:sz w:val="24"/>
          <w:szCs w:val="24"/>
        </w:rPr>
        <w:t>: ils fournissent un langage commun et une vision structurante sur des thématiques environnementales émergentes. Ils nourrissent les référentiels HQE et sont à disposition de tous les acteurs ayant un projet de construction neuve ou rénovée ou d’aménagement durable. Ils sont libres d’accès.</w:t>
      </w:r>
    </w:p>
    <w:p w14:paraId="14AC9DCB" w14:textId="30A82AC2" w:rsidR="00884A1A" w:rsidRPr="00BF05D1" w:rsidRDefault="00884A1A" w:rsidP="001073E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  <w:r w:rsidRPr="00BF05D1">
        <w:rPr>
          <w:rStyle w:val="lev"/>
          <w:rFonts w:cstheme="minorHAnsi"/>
          <w:color w:val="1A171B"/>
          <w:sz w:val="24"/>
          <w:szCs w:val="24"/>
        </w:rPr>
        <w:t>Les programmes HQE Performance</w:t>
      </w:r>
      <w:r w:rsidR="00D30010">
        <w:rPr>
          <w:rStyle w:val="lev"/>
          <w:rFonts w:cstheme="minorHAnsi"/>
          <w:color w:val="1A171B"/>
          <w:sz w:val="24"/>
          <w:szCs w:val="24"/>
        </w:rPr>
        <w:t xml:space="preserve"> pour expérimenter les cadres de référence et de définition</w:t>
      </w:r>
      <w:r w:rsidRPr="00BF05D1">
        <w:rPr>
          <w:rFonts w:cstheme="minorHAnsi"/>
          <w:color w:val="1A171B"/>
          <w:sz w:val="24"/>
          <w:szCs w:val="24"/>
        </w:rPr>
        <w:t> : à vocation expérimentale, ils permettent à tous les acteurs de la construction et de l’aménagement de défricher, sur le terrain, les nouveaux sujets environnementaux mais également d’évaluer de nouveaux outils dédiés à la performance environnementale. Ils sont ouverts à tous.</w:t>
      </w:r>
    </w:p>
    <w:p w14:paraId="3D2E40A6" w14:textId="422467E6" w:rsidR="00884A1A" w:rsidRPr="00BF05D1" w:rsidRDefault="00884A1A" w:rsidP="001073E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  <w:r w:rsidRPr="00BF05D1">
        <w:rPr>
          <w:rStyle w:val="lev"/>
          <w:rFonts w:cstheme="minorHAnsi"/>
          <w:color w:val="1A171B"/>
          <w:sz w:val="24"/>
          <w:szCs w:val="24"/>
        </w:rPr>
        <w:t>Les guides pratiques</w:t>
      </w:r>
      <w:r w:rsidR="00D30010">
        <w:rPr>
          <w:rStyle w:val="lev"/>
          <w:rFonts w:cstheme="minorHAnsi"/>
          <w:color w:val="1A171B"/>
          <w:sz w:val="24"/>
          <w:szCs w:val="24"/>
        </w:rPr>
        <w:t xml:space="preserve"> (indicateurs environnementaux pour le quartier)</w:t>
      </w:r>
      <w:r w:rsidRPr="00BF05D1">
        <w:rPr>
          <w:rFonts w:cstheme="minorHAnsi"/>
          <w:color w:val="1A171B"/>
          <w:sz w:val="24"/>
          <w:szCs w:val="24"/>
        </w:rPr>
        <w:t> : s’appuyant sur les cadres de référence HQE, ils aident les acteurs de la construction et de l’aménagement à prendre des décisions opérationnelles. Ils sont libres d’accès.</w:t>
      </w:r>
    </w:p>
    <w:p w14:paraId="3272FA38" w14:textId="77777777" w:rsidR="00884A1A" w:rsidRPr="00BF05D1" w:rsidRDefault="00884A1A" w:rsidP="001073E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  <w:r w:rsidRPr="00BF05D1">
        <w:rPr>
          <w:rStyle w:val="lev"/>
          <w:rFonts w:cstheme="minorHAnsi"/>
          <w:color w:val="1A171B"/>
          <w:sz w:val="24"/>
          <w:szCs w:val="24"/>
        </w:rPr>
        <w:t>Les groupes de travail (GT) :</w:t>
      </w:r>
    </w:p>
    <w:p w14:paraId="7FF60EFB" w14:textId="7443A4B5" w:rsidR="00884A1A" w:rsidRPr="00BF05D1" w:rsidRDefault="00884A1A" w:rsidP="001073EC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800"/>
        <w:jc w:val="both"/>
        <w:rPr>
          <w:rFonts w:cstheme="minorHAnsi"/>
          <w:color w:val="1A171B"/>
          <w:sz w:val="24"/>
          <w:szCs w:val="24"/>
        </w:rPr>
      </w:pPr>
      <w:r w:rsidRPr="006E7773">
        <w:rPr>
          <w:rFonts w:cstheme="minorHAnsi"/>
          <w:i/>
          <w:iCs/>
          <w:color w:val="1A171B"/>
          <w:sz w:val="24"/>
          <w:szCs w:val="24"/>
        </w:rPr>
        <w:t>GT Aménagement</w:t>
      </w:r>
      <w:r w:rsidRPr="00BF05D1">
        <w:rPr>
          <w:rFonts w:cstheme="minorHAnsi"/>
          <w:color w:val="1A171B"/>
          <w:sz w:val="24"/>
          <w:szCs w:val="24"/>
        </w:rPr>
        <w:t xml:space="preserve"> dédié aux enjeux de l’aménagement</w:t>
      </w:r>
      <w:r w:rsidR="005D5FCE">
        <w:rPr>
          <w:rFonts w:cstheme="minorHAnsi"/>
          <w:color w:val="1A171B"/>
          <w:sz w:val="24"/>
          <w:szCs w:val="24"/>
        </w:rPr>
        <w:t xml:space="preserve"> – propose des outils pour </w:t>
      </w:r>
      <w:r w:rsidR="005D5FCE" w:rsidRPr="00BF05D1">
        <w:rPr>
          <w:rFonts w:cstheme="minorHAnsi"/>
          <w:sz w:val="24"/>
          <w:szCs w:val="24"/>
        </w:rPr>
        <w:t>questionner et accompagner sur l’ensemble du projet, tracer, suivre</w:t>
      </w:r>
      <w:r w:rsidRPr="00BF05D1">
        <w:rPr>
          <w:rFonts w:cstheme="minorHAnsi"/>
          <w:color w:val="1A171B"/>
          <w:sz w:val="24"/>
          <w:szCs w:val="24"/>
        </w:rPr>
        <w:t xml:space="preserve"> (Système de Management d’Opération, indicateurs quartiers, ACV quartier…)</w:t>
      </w:r>
    </w:p>
    <w:p w14:paraId="1DA9AED1" w14:textId="77777777" w:rsidR="00884A1A" w:rsidRPr="00BF05D1" w:rsidRDefault="00884A1A" w:rsidP="001073EC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800"/>
        <w:jc w:val="both"/>
        <w:rPr>
          <w:rFonts w:cstheme="minorHAnsi"/>
          <w:color w:val="1A171B"/>
          <w:sz w:val="24"/>
          <w:szCs w:val="24"/>
        </w:rPr>
      </w:pPr>
      <w:r w:rsidRPr="006E7773">
        <w:rPr>
          <w:rFonts w:cstheme="minorHAnsi"/>
          <w:i/>
          <w:iCs/>
          <w:color w:val="1A171B"/>
          <w:sz w:val="24"/>
          <w:szCs w:val="24"/>
        </w:rPr>
        <w:t>GT Indicateurs environnementaux</w:t>
      </w:r>
      <w:r w:rsidRPr="00BF05D1">
        <w:rPr>
          <w:rFonts w:cstheme="minorHAnsi"/>
          <w:color w:val="1A171B"/>
          <w:sz w:val="24"/>
          <w:szCs w:val="24"/>
        </w:rPr>
        <w:t xml:space="preserve"> dédié aux enjeux liés au bâtiment (ACV, économie circulaire, rénovation…)</w:t>
      </w:r>
    </w:p>
    <w:p w14:paraId="11A456AE" w14:textId="17028D25" w:rsidR="00884A1A" w:rsidRPr="00BF05D1" w:rsidRDefault="00884A1A" w:rsidP="001073EC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800"/>
        <w:jc w:val="both"/>
        <w:rPr>
          <w:rFonts w:cstheme="minorHAnsi"/>
          <w:color w:val="1A171B"/>
          <w:sz w:val="24"/>
          <w:szCs w:val="24"/>
        </w:rPr>
      </w:pPr>
      <w:r w:rsidRPr="006E7773">
        <w:rPr>
          <w:rFonts w:cstheme="minorHAnsi"/>
          <w:i/>
          <w:iCs/>
          <w:color w:val="1A171B"/>
          <w:sz w:val="24"/>
          <w:szCs w:val="24"/>
        </w:rPr>
        <w:t>GT International</w:t>
      </w:r>
      <w:r w:rsidRPr="00BF05D1">
        <w:rPr>
          <w:rFonts w:cstheme="minorHAnsi"/>
          <w:color w:val="1A171B"/>
          <w:sz w:val="24"/>
          <w:szCs w:val="24"/>
        </w:rPr>
        <w:t xml:space="preserve"> dédié aux enjeux de la construction durable à l’International (projets internationaux, opérations et événements à l’International,)</w:t>
      </w:r>
      <w:r w:rsidR="005C650C">
        <w:rPr>
          <w:rFonts w:cstheme="minorHAnsi"/>
          <w:color w:val="1A171B"/>
          <w:sz w:val="24"/>
          <w:szCs w:val="24"/>
        </w:rPr>
        <w:t xml:space="preserve"> – L’Alliance est membre du World GBC</w:t>
      </w:r>
    </w:p>
    <w:p w14:paraId="689E0103" w14:textId="77777777" w:rsidR="00884A1A" w:rsidRPr="00BF05D1" w:rsidRDefault="00884A1A" w:rsidP="001073EC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800"/>
        <w:jc w:val="both"/>
        <w:rPr>
          <w:rFonts w:cstheme="minorHAnsi"/>
          <w:color w:val="1A171B"/>
          <w:sz w:val="24"/>
          <w:szCs w:val="24"/>
        </w:rPr>
      </w:pPr>
      <w:r w:rsidRPr="006E7773">
        <w:rPr>
          <w:rFonts w:cstheme="minorHAnsi"/>
          <w:i/>
          <w:iCs/>
          <w:color w:val="1A171B"/>
          <w:sz w:val="24"/>
          <w:szCs w:val="24"/>
        </w:rPr>
        <w:t>GT QAI</w:t>
      </w:r>
      <w:r w:rsidRPr="00BF05D1">
        <w:rPr>
          <w:rFonts w:cstheme="minorHAnsi"/>
          <w:color w:val="1A171B"/>
          <w:sz w:val="24"/>
          <w:szCs w:val="24"/>
        </w:rPr>
        <w:t xml:space="preserve"> dédié aux enjeux de la Qualité de l’air intérieur (protocoles de mesure de la QAI à réception, capteurs de la QAI</w:t>
      </w:r>
      <w:proofErr w:type="gramStart"/>
      <w:r w:rsidRPr="00BF05D1">
        <w:rPr>
          <w:rFonts w:cstheme="minorHAnsi"/>
          <w:color w:val="1A171B"/>
          <w:sz w:val="24"/>
          <w:szCs w:val="24"/>
        </w:rPr>
        <w:t>… )</w:t>
      </w:r>
      <w:proofErr w:type="gramEnd"/>
    </w:p>
    <w:p w14:paraId="1099CBF3" w14:textId="77777777" w:rsidR="00884A1A" w:rsidRPr="00BF05D1" w:rsidRDefault="00884A1A" w:rsidP="001073EC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800"/>
        <w:jc w:val="both"/>
        <w:rPr>
          <w:rFonts w:cstheme="minorHAnsi"/>
          <w:color w:val="1A171B"/>
          <w:sz w:val="24"/>
          <w:szCs w:val="24"/>
        </w:rPr>
      </w:pPr>
      <w:r w:rsidRPr="006E7773">
        <w:rPr>
          <w:rFonts w:cstheme="minorHAnsi"/>
          <w:i/>
          <w:iCs/>
          <w:color w:val="1A171B"/>
          <w:sz w:val="24"/>
          <w:szCs w:val="24"/>
        </w:rPr>
        <w:t>GT Réno-copropriété</w:t>
      </w:r>
      <w:r w:rsidRPr="00BF05D1">
        <w:rPr>
          <w:rFonts w:cstheme="minorHAnsi"/>
          <w:color w:val="1A171B"/>
          <w:sz w:val="24"/>
          <w:szCs w:val="24"/>
        </w:rPr>
        <w:t xml:space="preserve"> avec le collectif de la rénovation globale en copropriété dédié aux enjeux de la rénovation du bâtiment en copropriété (fluidifier le processus de rénovation globale et démultiplier les chantiers)</w:t>
      </w:r>
    </w:p>
    <w:p w14:paraId="7731E66A" w14:textId="77777777" w:rsidR="00884A1A" w:rsidRPr="00BF05D1" w:rsidRDefault="00884A1A" w:rsidP="001073E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  <w:r w:rsidRPr="00BF05D1">
        <w:rPr>
          <w:rStyle w:val="lev"/>
          <w:rFonts w:cstheme="minorHAnsi"/>
          <w:color w:val="1A171B"/>
          <w:sz w:val="24"/>
          <w:szCs w:val="24"/>
        </w:rPr>
        <w:t>L’outil digital « HQE Pour Tous »</w:t>
      </w:r>
      <w:r w:rsidRPr="00BF05D1">
        <w:rPr>
          <w:rFonts w:cstheme="minorHAnsi"/>
          <w:color w:val="1A171B"/>
          <w:sz w:val="24"/>
          <w:szCs w:val="24"/>
        </w:rPr>
        <w:t> : à vocation pédagogique, il permet de réaliser l’</w:t>
      </w:r>
      <w:proofErr w:type="spellStart"/>
      <w:r w:rsidRPr="00BF05D1">
        <w:rPr>
          <w:rFonts w:cstheme="minorHAnsi"/>
          <w:color w:val="1A171B"/>
          <w:sz w:val="24"/>
          <w:szCs w:val="24"/>
        </w:rPr>
        <w:t>auto-diagnostic</w:t>
      </w:r>
      <w:proofErr w:type="spellEnd"/>
      <w:r w:rsidRPr="00BF05D1">
        <w:rPr>
          <w:rFonts w:cstheme="minorHAnsi"/>
          <w:color w:val="1A171B"/>
          <w:sz w:val="24"/>
          <w:szCs w:val="24"/>
        </w:rPr>
        <w:t xml:space="preserve"> d’un projet de bâtiment durable. Cet outil est libre d’accès.</w:t>
      </w:r>
    </w:p>
    <w:p w14:paraId="5061791A" w14:textId="257DAACB" w:rsidR="00884A1A" w:rsidRDefault="00884A1A" w:rsidP="001073E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  <w:r w:rsidRPr="00BF05D1">
        <w:rPr>
          <w:rStyle w:val="lev"/>
          <w:rFonts w:cstheme="minorHAnsi"/>
          <w:color w:val="1A171B"/>
          <w:sz w:val="24"/>
          <w:szCs w:val="24"/>
        </w:rPr>
        <w:t>La base de données INIES</w:t>
      </w:r>
      <w:r w:rsidRPr="00BF05D1">
        <w:rPr>
          <w:rFonts w:cstheme="minorHAnsi"/>
          <w:color w:val="1A171B"/>
          <w:sz w:val="24"/>
          <w:szCs w:val="24"/>
        </w:rPr>
        <w:t> : propriété de l’Alliance HQE-GBC</w:t>
      </w:r>
      <w:r w:rsidR="005C650C">
        <w:rPr>
          <w:rFonts w:cstheme="minorHAnsi"/>
          <w:color w:val="1A171B"/>
          <w:sz w:val="24"/>
          <w:szCs w:val="24"/>
        </w:rPr>
        <w:t xml:space="preserve"> et gérée par celle-ci depuis 2011</w:t>
      </w:r>
      <w:r w:rsidR="006B4622">
        <w:rPr>
          <w:rFonts w:cstheme="minorHAnsi"/>
          <w:color w:val="1A171B"/>
          <w:sz w:val="24"/>
          <w:szCs w:val="24"/>
        </w:rPr>
        <w:t>, sur conventionnement de l’Etat</w:t>
      </w:r>
      <w:r w:rsidRPr="00BF05D1">
        <w:rPr>
          <w:rFonts w:cstheme="minorHAnsi"/>
          <w:color w:val="1A171B"/>
          <w:sz w:val="24"/>
          <w:szCs w:val="24"/>
        </w:rPr>
        <w:t xml:space="preserve">, cette base fournit des données environnementales </w:t>
      </w:r>
      <w:r w:rsidR="008D44EC">
        <w:rPr>
          <w:rFonts w:cstheme="minorHAnsi"/>
          <w:color w:val="1A171B"/>
          <w:sz w:val="24"/>
          <w:szCs w:val="24"/>
        </w:rPr>
        <w:t xml:space="preserve">et sanitaires </w:t>
      </w:r>
      <w:r w:rsidRPr="00BF05D1">
        <w:rPr>
          <w:rFonts w:cstheme="minorHAnsi"/>
          <w:color w:val="1A171B"/>
          <w:sz w:val="24"/>
          <w:szCs w:val="24"/>
        </w:rPr>
        <w:t>des produits et équipements de construction, nécessaires au calcul de l’Analyse de Cycle de Vie d’un bâtiment. Elle est libre d’accès.</w:t>
      </w:r>
    </w:p>
    <w:p w14:paraId="4C016F81" w14:textId="7299F2FB" w:rsidR="006B4622" w:rsidRPr="006B4622" w:rsidRDefault="006B4622" w:rsidP="006B4622">
      <w:pPr>
        <w:jc w:val="both"/>
        <w:rPr>
          <w:rFonts w:cstheme="minorHAnsi"/>
          <w:sz w:val="24"/>
          <w:szCs w:val="24"/>
        </w:rPr>
      </w:pPr>
      <w:r w:rsidRPr="006B4622">
        <w:rPr>
          <w:rFonts w:cstheme="minorHAnsi"/>
          <w:sz w:val="24"/>
          <w:szCs w:val="24"/>
        </w:rPr>
        <w:t xml:space="preserve">L’association est le représentant en France du </w:t>
      </w:r>
      <w:r w:rsidRPr="006B4622">
        <w:rPr>
          <w:rFonts w:cstheme="minorHAnsi"/>
          <w:b/>
          <w:bCs/>
          <w:sz w:val="24"/>
          <w:szCs w:val="24"/>
        </w:rPr>
        <w:t>World Green Building Council</w:t>
      </w:r>
      <w:r w:rsidRPr="006B4622">
        <w:rPr>
          <w:rFonts w:cstheme="minorHAnsi"/>
          <w:sz w:val="24"/>
          <w:szCs w:val="24"/>
        </w:rPr>
        <w:t xml:space="preserve"> (WGBC), association mondiale regroupant un réseau de professionnels engagés dans la construction durable dans plus de 70 pays. Le WGBC vise à transformer le secteur de la construction dans les domaines stratégiques de l’action climatique, la santé, le bien-être, l’utilisation des ressources et la circularité grâce à une approche globale et systémique. </w:t>
      </w:r>
    </w:p>
    <w:p w14:paraId="06CD4A9B" w14:textId="5A971F98" w:rsidR="00D4778E" w:rsidRPr="006B4622" w:rsidRDefault="006B4622" w:rsidP="006B4622">
      <w:pPr>
        <w:jc w:val="both"/>
        <w:rPr>
          <w:rFonts w:cstheme="minorHAnsi"/>
          <w:sz w:val="24"/>
          <w:szCs w:val="24"/>
        </w:rPr>
      </w:pPr>
      <w:r w:rsidRPr="006B4622">
        <w:rPr>
          <w:rFonts w:cstheme="minorHAnsi"/>
          <w:sz w:val="24"/>
          <w:szCs w:val="24"/>
        </w:rPr>
        <w:t>Enfin, e</w:t>
      </w:r>
      <w:r w:rsidR="00D4778E" w:rsidRPr="006B4622">
        <w:rPr>
          <w:rFonts w:cstheme="minorHAnsi"/>
          <w:sz w:val="24"/>
          <w:szCs w:val="24"/>
        </w:rPr>
        <w:t>n tant qu’acteur incontournable reconnu au sein de son écosystème, l’Alliance HQE-GBC est l’un des membres fondateurs, aux côtés du collectif des Démarches Quartiers Bâtiments Durables et du collectif Effinergie, du Groupement d’Intérêt Ecologique qui porte le projet « </w:t>
      </w:r>
      <w:r w:rsidR="00D4778E" w:rsidRPr="006B4622">
        <w:rPr>
          <w:rFonts w:cstheme="minorHAnsi"/>
          <w:b/>
          <w:bCs/>
          <w:sz w:val="24"/>
          <w:szCs w:val="24"/>
        </w:rPr>
        <w:t>Cap 2030</w:t>
      </w:r>
      <w:r w:rsidR="00D4778E" w:rsidRPr="006B4622">
        <w:rPr>
          <w:rFonts w:cstheme="minorHAnsi"/>
          <w:sz w:val="24"/>
          <w:szCs w:val="24"/>
        </w:rPr>
        <w:t xml:space="preserve"> » </w:t>
      </w:r>
      <w:r w:rsidR="00D4778E" w:rsidRPr="006B4622">
        <w:rPr>
          <w:rStyle w:val="cf01"/>
          <w:rFonts w:asciiTheme="minorHAnsi" w:hAnsiTheme="minorHAnsi" w:cstheme="minorHAnsi"/>
          <w:sz w:val="24"/>
          <w:szCs w:val="24"/>
        </w:rPr>
        <w:t xml:space="preserve">dont l'objectif est de </w:t>
      </w:r>
      <w:proofErr w:type="spellStart"/>
      <w:r w:rsidR="00D4778E" w:rsidRPr="006B4622">
        <w:rPr>
          <w:rStyle w:val="cf01"/>
          <w:rFonts w:asciiTheme="minorHAnsi" w:hAnsiTheme="minorHAnsi" w:cstheme="minorHAnsi"/>
          <w:sz w:val="24"/>
          <w:szCs w:val="24"/>
        </w:rPr>
        <w:t>co-construire</w:t>
      </w:r>
      <w:proofErr w:type="spellEnd"/>
      <w:r w:rsidR="00D4778E" w:rsidRPr="006B4622">
        <w:rPr>
          <w:rStyle w:val="cf01"/>
          <w:rFonts w:asciiTheme="minorHAnsi" w:hAnsiTheme="minorHAnsi" w:cstheme="minorHAnsi"/>
          <w:sz w:val="24"/>
          <w:szCs w:val="24"/>
        </w:rPr>
        <w:t xml:space="preserve"> un cadre commun de référence qui préfigurera la future réglementation environnementale post-RE2020, avec l'appui de l'Etat, du Plan Bâtiment Durable et du CSTB.</w:t>
      </w:r>
    </w:p>
    <w:p w14:paraId="62877B2E" w14:textId="77777777" w:rsidR="00D4778E" w:rsidRDefault="00D4778E" w:rsidP="00D4778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1A171B"/>
          <w:sz w:val="24"/>
          <w:szCs w:val="24"/>
        </w:rPr>
      </w:pPr>
    </w:p>
    <w:p w14:paraId="4A3F602D" w14:textId="47C82C5A" w:rsidR="00E81E42" w:rsidRDefault="00B46689" w:rsidP="001073EC">
      <w:pPr>
        <w:jc w:val="both"/>
        <w:rPr>
          <w:rFonts w:cstheme="minorHAnsi"/>
          <w:b/>
          <w:bCs/>
          <w:sz w:val="24"/>
          <w:szCs w:val="24"/>
        </w:rPr>
      </w:pPr>
      <w:r w:rsidRPr="007E00ED">
        <w:rPr>
          <w:rFonts w:cstheme="minorHAnsi"/>
          <w:b/>
          <w:bCs/>
          <w:sz w:val="24"/>
          <w:szCs w:val="24"/>
        </w:rPr>
        <w:t>Thématiques</w:t>
      </w:r>
    </w:p>
    <w:p w14:paraId="32578415" w14:textId="5D36D8B9" w:rsidR="00961773" w:rsidRPr="00752B7C" w:rsidRDefault="00961773" w:rsidP="00752B7C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52B7C">
        <w:rPr>
          <w:rFonts w:cstheme="minorHAnsi"/>
          <w:sz w:val="24"/>
          <w:szCs w:val="24"/>
        </w:rPr>
        <w:t>Performance environnementale</w:t>
      </w:r>
    </w:p>
    <w:p w14:paraId="54CE16F6" w14:textId="7C891C07" w:rsidR="00B46689" w:rsidRPr="00752B7C" w:rsidRDefault="00B46689" w:rsidP="00752B7C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52B7C">
        <w:rPr>
          <w:rFonts w:cstheme="minorHAnsi"/>
          <w:sz w:val="24"/>
          <w:szCs w:val="24"/>
        </w:rPr>
        <w:t>ACV</w:t>
      </w:r>
      <w:r w:rsidR="00BF50AC" w:rsidRPr="00752B7C">
        <w:rPr>
          <w:rFonts w:cstheme="minorHAnsi"/>
          <w:sz w:val="24"/>
          <w:szCs w:val="24"/>
        </w:rPr>
        <w:t xml:space="preserve"> (neuf et rénovation)</w:t>
      </w:r>
      <w:r w:rsidRPr="00752B7C">
        <w:rPr>
          <w:rFonts w:cstheme="minorHAnsi"/>
          <w:sz w:val="24"/>
          <w:szCs w:val="24"/>
        </w:rPr>
        <w:t>, économie circulaire</w:t>
      </w:r>
      <w:r w:rsidR="00BF50AC" w:rsidRPr="00752B7C">
        <w:rPr>
          <w:rFonts w:cstheme="minorHAnsi"/>
          <w:sz w:val="24"/>
          <w:szCs w:val="24"/>
        </w:rPr>
        <w:t xml:space="preserve"> pour le cadre bâti</w:t>
      </w:r>
    </w:p>
    <w:p w14:paraId="42A6CBA7" w14:textId="1D7FC219" w:rsidR="00B46689" w:rsidRPr="00752B7C" w:rsidRDefault="00B46689" w:rsidP="00752B7C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52B7C">
        <w:rPr>
          <w:rFonts w:cstheme="minorHAnsi"/>
          <w:sz w:val="24"/>
          <w:szCs w:val="24"/>
        </w:rPr>
        <w:t>Aménagement</w:t>
      </w:r>
    </w:p>
    <w:p w14:paraId="1C710607" w14:textId="6B7D872F" w:rsidR="00B46689" w:rsidRPr="00752B7C" w:rsidRDefault="00B46689" w:rsidP="00752B7C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52B7C">
        <w:rPr>
          <w:rFonts w:cstheme="minorHAnsi"/>
          <w:sz w:val="24"/>
          <w:szCs w:val="24"/>
        </w:rPr>
        <w:t xml:space="preserve">Adaptation au changement climatique, </w:t>
      </w:r>
      <w:r w:rsidR="00BF50AC" w:rsidRPr="00752B7C">
        <w:rPr>
          <w:rFonts w:cstheme="minorHAnsi"/>
          <w:sz w:val="24"/>
          <w:szCs w:val="24"/>
        </w:rPr>
        <w:t>résilience</w:t>
      </w:r>
    </w:p>
    <w:sectPr w:rsidR="00B46689" w:rsidRPr="0075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ACD"/>
    <w:multiLevelType w:val="multilevel"/>
    <w:tmpl w:val="FD32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0595F"/>
    <w:multiLevelType w:val="multilevel"/>
    <w:tmpl w:val="CB0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63FF5"/>
    <w:multiLevelType w:val="multilevel"/>
    <w:tmpl w:val="BF0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2F5685"/>
    <w:multiLevelType w:val="multilevel"/>
    <w:tmpl w:val="CCE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833121"/>
    <w:multiLevelType w:val="hybridMultilevel"/>
    <w:tmpl w:val="D84EA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5708"/>
    <w:multiLevelType w:val="hybridMultilevel"/>
    <w:tmpl w:val="3D90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96351">
    <w:abstractNumId w:val="2"/>
  </w:num>
  <w:num w:numId="2" w16cid:durableId="1805999482">
    <w:abstractNumId w:val="0"/>
  </w:num>
  <w:num w:numId="3" w16cid:durableId="872814058">
    <w:abstractNumId w:val="1"/>
  </w:num>
  <w:num w:numId="4" w16cid:durableId="487551097">
    <w:abstractNumId w:val="3"/>
  </w:num>
  <w:num w:numId="5" w16cid:durableId="1980643994">
    <w:abstractNumId w:val="4"/>
  </w:num>
  <w:num w:numId="6" w16cid:durableId="1233539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04"/>
    <w:rsid w:val="0000607C"/>
    <w:rsid w:val="00030BF6"/>
    <w:rsid w:val="00071784"/>
    <w:rsid w:val="000A19A5"/>
    <w:rsid w:val="00100644"/>
    <w:rsid w:val="001073EC"/>
    <w:rsid w:val="001A3736"/>
    <w:rsid w:val="001C6821"/>
    <w:rsid w:val="001E5742"/>
    <w:rsid w:val="002115AF"/>
    <w:rsid w:val="002258B1"/>
    <w:rsid w:val="00246000"/>
    <w:rsid w:val="00254A92"/>
    <w:rsid w:val="0026123B"/>
    <w:rsid w:val="002637DD"/>
    <w:rsid w:val="00267276"/>
    <w:rsid w:val="003B2818"/>
    <w:rsid w:val="003B5B4E"/>
    <w:rsid w:val="003D49D9"/>
    <w:rsid w:val="003D6295"/>
    <w:rsid w:val="00473D7A"/>
    <w:rsid w:val="004B75C6"/>
    <w:rsid w:val="00512C95"/>
    <w:rsid w:val="00520097"/>
    <w:rsid w:val="005460CA"/>
    <w:rsid w:val="005C650C"/>
    <w:rsid w:val="005D43D5"/>
    <w:rsid w:val="005D5F15"/>
    <w:rsid w:val="005D5FCE"/>
    <w:rsid w:val="005D792F"/>
    <w:rsid w:val="006124E6"/>
    <w:rsid w:val="00624AB6"/>
    <w:rsid w:val="00635F5B"/>
    <w:rsid w:val="00671E45"/>
    <w:rsid w:val="00672752"/>
    <w:rsid w:val="006B4622"/>
    <w:rsid w:val="006C3AB5"/>
    <w:rsid w:val="006E7773"/>
    <w:rsid w:val="00752B7C"/>
    <w:rsid w:val="007B1F5B"/>
    <w:rsid w:val="007E00ED"/>
    <w:rsid w:val="00857C83"/>
    <w:rsid w:val="00884A1A"/>
    <w:rsid w:val="008B3D5E"/>
    <w:rsid w:val="008D44EC"/>
    <w:rsid w:val="008D60E0"/>
    <w:rsid w:val="008E47F3"/>
    <w:rsid w:val="008F0525"/>
    <w:rsid w:val="00935512"/>
    <w:rsid w:val="00953739"/>
    <w:rsid w:val="00961773"/>
    <w:rsid w:val="00997A1F"/>
    <w:rsid w:val="009E212D"/>
    <w:rsid w:val="009E3304"/>
    <w:rsid w:val="009E61DF"/>
    <w:rsid w:val="00A3441C"/>
    <w:rsid w:val="00AB0E86"/>
    <w:rsid w:val="00B46689"/>
    <w:rsid w:val="00BA7105"/>
    <w:rsid w:val="00BD509E"/>
    <w:rsid w:val="00BF05D1"/>
    <w:rsid w:val="00BF50AC"/>
    <w:rsid w:val="00BF7DE6"/>
    <w:rsid w:val="00C15A18"/>
    <w:rsid w:val="00C27714"/>
    <w:rsid w:val="00C34A31"/>
    <w:rsid w:val="00CB69F6"/>
    <w:rsid w:val="00D22B19"/>
    <w:rsid w:val="00D30010"/>
    <w:rsid w:val="00D35F64"/>
    <w:rsid w:val="00D4778E"/>
    <w:rsid w:val="00DF2A73"/>
    <w:rsid w:val="00E712DF"/>
    <w:rsid w:val="00E81E42"/>
    <w:rsid w:val="00E971FA"/>
    <w:rsid w:val="00E97247"/>
    <w:rsid w:val="00EB1F65"/>
    <w:rsid w:val="00F308BE"/>
    <w:rsid w:val="00F70A21"/>
    <w:rsid w:val="00F8684C"/>
    <w:rsid w:val="00FD20FE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1885"/>
  <w15:chartTrackingRefBased/>
  <w15:docId w15:val="{73C979D5-542A-4447-9836-64811339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84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4A1A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84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84A1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57C83"/>
    <w:rPr>
      <w:color w:val="0000FF"/>
      <w:u w:val="single"/>
    </w:rPr>
  </w:style>
  <w:style w:type="paragraph" w:customStyle="1" w:styleId="xmsonormal">
    <w:name w:val="x_msonormal"/>
    <w:basedOn w:val="Normal"/>
    <w:rsid w:val="00E7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msolistparagraph">
    <w:name w:val="x_msolistparagraph"/>
    <w:basedOn w:val="Normal"/>
    <w:rsid w:val="00E7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D6295"/>
    <w:pPr>
      <w:ind w:left="720"/>
      <w:contextualSpacing/>
    </w:pPr>
  </w:style>
  <w:style w:type="character" w:customStyle="1" w:styleId="cf01">
    <w:name w:val="cf01"/>
    <w:basedOn w:val="Policepardfaut"/>
    <w:rsid w:val="00D477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20" ma:contentTypeDescription="Crée un document." ma:contentTypeScope="" ma:versionID="ad27ab82f5b28eba0d2b992e1fbb6f14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a5e96decd89bb09de7b9281c125b48f7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61e1f-ba05-4ba4-aa4e-f62bea3a2808}" ma:internalName="TaxCatchAll" ma:showField="CatchAllData" ma:web="e21a6254-ba03-4d28-8f84-ba8998bf1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0e4edc5-c987-42fd-9fca-4d1cf6922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a6254-ba03-4d28-8f84-ba8998bf1df0" xsi:nil="true"/>
    <lcf76f155ced4ddcb4097134ff3c332f xmlns="a682b4ab-22c1-46d6-a8cc-bd9a877646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7EB32C-AC95-404E-96A6-A2E03F7E65FE}"/>
</file>

<file path=customXml/itemProps2.xml><?xml version="1.0" encoding="utf-8"?>
<ds:datastoreItem xmlns:ds="http://schemas.openxmlformats.org/officeDocument/2006/customXml" ds:itemID="{43D00093-8B9B-4CAC-9512-41F2EC3E9141}"/>
</file>

<file path=customXml/itemProps3.xml><?xml version="1.0" encoding="utf-8"?>
<ds:datastoreItem xmlns:ds="http://schemas.openxmlformats.org/officeDocument/2006/customXml" ds:itemID="{A9CE9EB7-C22D-496B-9243-B6E1FB4BE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CHERMAIN</dc:creator>
  <cp:keywords/>
  <dc:description/>
  <cp:lastModifiedBy>Rachel CHERMAIN</cp:lastModifiedBy>
  <cp:revision>2</cp:revision>
  <dcterms:created xsi:type="dcterms:W3CDTF">2025-05-21T10:14:00Z</dcterms:created>
  <dcterms:modified xsi:type="dcterms:W3CDTF">2025-05-21T10:14:00Z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